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11"/>
        <w:spacing w:lineRule="auto" w:line="360" w:before="0" w:after="26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Сотрудники Отделения СФР по Волгоградской области обучили </w:t>
      </w:r>
    </w:p>
    <w:p>
      <w:pPr>
        <w:pStyle w:val="11"/>
        <w:spacing w:lineRule="auto" w:line="360" w:before="0" w:after="26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пенсионной и социальной грамотности более 400 старшеклассников и студентов</w:t>
      </w:r>
    </w:p>
    <w:p>
      <w:pPr>
        <w:pStyle w:val="BodyText"/>
        <w:rPr>
          <w:sz w:val="8"/>
          <w:szCs w:val="8"/>
          <w:lang w:eastAsia="zh-CN" w:bidi="hi-IN"/>
        </w:rPr>
      </w:pPr>
      <w:r>
        <w:rPr>
          <w:sz w:val="8"/>
          <w:szCs w:val="8"/>
          <w:lang w:eastAsia="zh-CN" w:bidi="hi-IN"/>
        </w:rPr>
      </w:r>
    </w:p>
    <w:p>
      <w:pPr>
        <w:pStyle w:val="BodyText"/>
        <w:spacing w:lineRule="auto" w:line="360"/>
        <w:jc w:val="both"/>
        <w:rPr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ab/>
        <w:t xml:space="preserve">На всей территории Волгоградской области проходит информационная кампания по повышению пенсионной грамотности среди молодёжи. Свыше 400 старшеклассников и студентов уже приняли в ней участие. </w:t>
      </w:r>
    </w:p>
    <w:p>
      <w:pPr>
        <w:pStyle w:val="BodyText"/>
        <w:spacing w:lineRule="auto" w:line="360"/>
        <w:jc w:val="both"/>
        <w:rPr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ab/>
        <w:t>Школьникам и учащимся ссузов и вузов сотрудники Отделения Социального фонда России по Волгоградской области рассказали</w:t>
      </w:r>
      <w:r>
        <w:rPr>
          <w:b w:val="false"/>
          <w:color w:val="000000"/>
          <w:sz w:val="24"/>
          <w:shd w:fill="FFFFFF" w:val="clear"/>
        </w:rPr>
        <w:t>,</w:t>
      </w:r>
      <w:r>
        <w:rPr>
          <w:b w:val="false"/>
          <w:color w:val="000000"/>
          <w:sz w:val="24"/>
        </w:rPr>
        <w:t xml:space="preserve"> как правильно начать свой трудовой путь, почему важна «белая» зарплата, что такое страховые взносы, индивидуальный лицевой счёт, нестраховые периоды, электронная трудовая книжка. </w:t>
      </w:r>
    </w:p>
    <w:p>
      <w:pPr>
        <w:pStyle w:val="BodyText"/>
        <w:spacing w:lineRule="auto" w:line="360"/>
        <w:jc w:val="both"/>
        <w:rPr>
          <w:b w:val="false"/>
          <w:sz w:val="24"/>
          <w:shd w:fill="FFFFFF" w:val="clear"/>
        </w:rPr>
      </w:pPr>
      <w:r>
        <w:rPr>
          <w:b w:val="false"/>
          <w:sz w:val="24"/>
        </w:rPr>
        <w:tab/>
        <w:t xml:space="preserve">Занятия с молодёжью проходят в игровой форме. Например, командам предлагают из списка профессий выбрать те, представители которой могут выйти на пенсию досрочно. Также  студенты и школьники играют в «правду» и «ложь»: отвечают на вопросы по пенсионной тематике с помощью соответствующих карточек. По традиции, каждому студенту и школьнику на уроке вручается </w:t>
      </w:r>
      <w:r>
        <w:rPr>
          <w:b w:val="false"/>
          <w:sz w:val="24"/>
          <w:shd w:fill="FFFFFF" w:val="clear"/>
        </w:rPr>
        <w:t>учебное пособие «Всё о будущей пенсии: для учёбы и жизни».</w:t>
      </w:r>
    </w:p>
    <w:p>
      <w:pPr>
        <w:pStyle w:val="BodyText"/>
        <w:spacing w:lineRule="auto" w:line="360"/>
        <w:jc w:val="both"/>
        <w:rPr>
          <w:color w:val="000000"/>
          <w:sz w:val="24"/>
          <w:shd w:fill="FFFFFF" w:val="clear"/>
        </w:rPr>
      </w:pPr>
      <w:r>
        <w:rPr>
          <w:b w:val="false"/>
          <w:color w:val="000000"/>
          <w:sz w:val="24"/>
          <w:shd w:fill="FFFFFF" w:val="clear"/>
        </w:rPr>
        <w:tab/>
        <w:t>Уроки пенсионной грамотности проходят и в Центрах общения старшего поколения. Сотрудники Отделения СФР по Волгоградской области рассказывают, в какие сроки проходит индексация разных видов пенсии, на какие социальные выплаты могут претендовать люди пожилого возраста и как с помощью компьютера или телефона получить большинство услуг Социального фонда России.</w:t>
      </w:r>
      <w:r>
        <w:rPr>
          <w:color w:val="000000"/>
          <w:sz w:val="24"/>
          <w:shd w:fill="FFFFFF" w:val="clear"/>
        </w:rPr>
        <w:t xml:space="preserve"> </w:t>
      </w:r>
    </w:p>
    <w:p>
      <w:pPr>
        <w:pStyle w:val="BodyTextIndent"/>
        <w:spacing w:lineRule="auto" w:line="360"/>
        <w:ind w:hanging="0"/>
        <w:rPr/>
      </w:pPr>
      <w:r>
        <w:rPr/>
        <w:tab/>
        <w:t xml:space="preserve">Подробно о пенсионной системе можно ознакомиться на сайте СФР </w:t>
      </w:r>
      <w:hyperlink r:id="rId3">
        <w:r>
          <w:rPr>
            <w:rStyle w:val="Hyperlink"/>
          </w:rPr>
          <w:t>https://sfr.gov.ru/grazhdanam/pensionnaya_sistema</w:t>
        </w:r>
      </w:hyperlink>
      <w:r>
        <w:rPr/>
        <w:t>.</w:t>
      </w:r>
    </w:p>
    <w:p>
      <w:pPr>
        <w:pStyle w:val="BodyTextIndent"/>
        <w:spacing w:lineRule="auto" w:line="360"/>
        <w:ind w:hanging="0"/>
        <w:rPr/>
      </w:pPr>
      <w:r>
        <w:rPr/>
        <w:tab/>
        <w:t>Дополнительные вопросы граждане могут задать по телефону контакт-центра по номеру: 8 (800) 100-00-01 (режим работы региональной линии —</w:t>
      </w:r>
      <w:r>
        <w:rPr>
          <w:rStyle w:val="Strong"/>
        </w:rPr>
        <w:t xml:space="preserve"> пн-чт с 8:00 до 17:00 час., пт — с 8:00 до 16:00).</w:t>
      </w:r>
    </w:p>
    <w:p>
      <w:pPr>
        <w:pStyle w:val="BodyTextIndent"/>
        <w:spacing w:lineRule="auto" w:line="360"/>
        <w:ind w:hanging="0"/>
        <w:rPr/>
      </w:pPr>
      <w:r>
        <w:rPr/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11">
    <w:name w:val="Заголовок 11"/>
    <w:basedOn w:val="Normal"/>
    <w:next w:val="BodyText"/>
    <w:qFormat/>
    <w:pPr>
      <w:keepNext w:val="true"/>
      <w:spacing w:lineRule="auto" w:line="240" w:before="240" w:after="120"/>
      <w:outlineLvl w:val="0"/>
    </w:pPr>
    <w:rPr>
      <w:rFonts w:ascii="Liberation Serif" w:hAnsi="Liberation Serif" w:eastAsia="NSimSun" w:cs="Lucida Sans"/>
      <w:b/>
      <w:bCs/>
      <w:kern w:val="2"/>
      <w:sz w:val="48"/>
      <w:szCs w:val="48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pensionnaya_sistem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1</Pages>
  <Words>248</Words>
  <Characters>1701</Characters>
  <CharactersWithSpaces>2000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2024-12-12T11:44:00Z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